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Akademia Tarnowska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Studenckie Koło Naukowe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ul. Mickiewicza 8, 33-100 Tarnów, tel. (0-14) 63 16 560; 63 16 561, e-mail: ans@anstar.edu.pl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INFORMACJE DLA AUTORÓW REFERATÓW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center"/>
        <w:rPr>
          <w:rFonts w:ascii="Arial" w:cs="Arial" w:eastAsia="Arial" w:hAnsi="Arial"/>
          <w:b w:val="1"/>
          <w:color w:val="00000a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32"/>
          <w:szCs w:val="32"/>
          <w:rtl w:val="0"/>
        </w:rPr>
        <w:t xml:space="preserve">X Konferencja Studenckich Kół Naukowych 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center"/>
        <w:rPr>
          <w:rFonts w:ascii="Arial" w:cs="Arial" w:eastAsia="Arial" w:hAnsi="Arial"/>
          <w:b w:val="1"/>
          <w:color w:val="00000a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32"/>
          <w:szCs w:val="32"/>
          <w:rtl w:val="0"/>
        </w:rPr>
        <w:t xml:space="preserve">pt.: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32"/>
          <w:szCs w:val="32"/>
          <w:rtl w:val="0"/>
        </w:rPr>
        <w:t xml:space="preserve">„Wyniki finansowe przedsiębiorstw jako czynnik rozwoju polskiej przedsiębiorczości”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Arial" w:cs="Arial" w:eastAsia="Arial" w:hAnsi="Arial"/>
          <w:color w:val="0000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center"/>
        <w:rPr>
          <w:rFonts w:ascii="Arial" w:cs="Arial" w:eastAsia="Arial" w:hAnsi="Arial"/>
          <w:b w:val="1"/>
          <w:color w:val="14141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highlight w:val="white"/>
          <w:rtl w:val="0"/>
        </w:rPr>
        <w:t xml:space="preserve">12 maja 2023 roku</w:t>
      </w: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highlight w:val="white"/>
          <w:rtl w:val="0"/>
        </w:rPr>
        <w:t xml:space="preserve">Akademia Tarnowska</w:t>
      </w:r>
    </w:p>
    <w:p w:rsidR="00000000" w:rsidDel="00000000" w:rsidP="00000000" w:rsidRDefault="00000000" w:rsidRPr="00000000" w14:paraId="00000010">
      <w:pPr>
        <w:widowControl w:val="0"/>
        <w:spacing w:after="12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2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lineRule="auto"/>
        <w:ind w:right="-284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Zgłoszenia na konferencję w formie elektronicznej prosimy przesyłać do dnia 15 marca 2023 roku na adres: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sknmanagerat@gmail.com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2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Referaty nie powinny przekraczać 8 stron maszynopisu.</w:t>
      </w:r>
    </w:p>
    <w:p w:rsidR="00000000" w:rsidDel="00000000" w:rsidP="00000000" w:rsidRDefault="00000000" w:rsidRPr="00000000" w14:paraId="00000015">
      <w:pPr>
        <w:widowControl w:val="0"/>
        <w:spacing w:after="12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Referaty należy przesłać na ten sam adres mailowy w terminie do 15 kwietnia 2023 roku</w:t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Wymogi redakcyjne: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20" w:lineRule="auto"/>
        <w:ind w:left="28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Artykuł powinien zawierać:</w:t>
      </w:r>
    </w:p>
    <w:p w:rsidR="00000000" w:rsidDel="00000000" w:rsidP="00000000" w:rsidRDefault="00000000" w:rsidRPr="00000000" w14:paraId="0000001F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imiona i nazwiska autorów,</w:t>
      </w:r>
    </w:p>
    <w:p w:rsidR="00000000" w:rsidDel="00000000" w:rsidP="00000000" w:rsidRDefault="00000000" w:rsidRPr="00000000" w14:paraId="00000020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nazwę instytucji,</w:t>
      </w:r>
    </w:p>
    <w:p w:rsidR="00000000" w:rsidDel="00000000" w:rsidP="00000000" w:rsidRDefault="00000000" w:rsidRPr="00000000" w14:paraId="00000021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tytuł artykułu w języku polskim,</w:t>
      </w:r>
    </w:p>
    <w:p w:rsidR="00000000" w:rsidDel="00000000" w:rsidP="00000000" w:rsidRDefault="00000000" w:rsidRPr="00000000" w14:paraId="00000022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tytuł artykułu w języku angielskim,</w:t>
      </w:r>
    </w:p>
    <w:p w:rsidR="00000000" w:rsidDel="00000000" w:rsidP="00000000" w:rsidRDefault="00000000" w:rsidRPr="00000000" w14:paraId="00000023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słowa kluczowe,</w:t>
      </w:r>
    </w:p>
    <w:p w:rsidR="00000000" w:rsidDel="00000000" w:rsidP="00000000" w:rsidRDefault="00000000" w:rsidRPr="00000000" w14:paraId="00000024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key words,</w:t>
      </w:r>
    </w:p>
    <w:p w:rsidR="00000000" w:rsidDel="00000000" w:rsidP="00000000" w:rsidRDefault="00000000" w:rsidRPr="00000000" w14:paraId="00000025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abstrakt (polskie streszczenie, max. 14 wierszy, zawierające cel badań, przedmiot badań, zastosowane metody, najważniejsze wyniki i wnioski),</w:t>
      </w:r>
    </w:p>
    <w:p w:rsidR="00000000" w:rsidDel="00000000" w:rsidP="00000000" w:rsidRDefault="00000000" w:rsidRPr="00000000" w14:paraId="00000026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treść artykułu podzieloną na nienumerowane rozdziały: wstęp, materiał i metodyka badań, wyniki badań, podsumowanie lub wnioski, literatura,</w:t>
      </w:r>
    </w:p>
    <w:p w:rsidR="00000000" w:rsidDel="00000000" w:rsidP="00000000" w:rsidRDefault="00000000" w:rsidRPr="00000000" w14:paraId="00000027">
      <w:pPr>
        <w:shd w:fill="ffffff" w:val="clear"/>
        <w:spacing w:after="12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literatura – (uporządkowana alfabetycznie, musi zawierać: nazwiska i inicjały imion wszystkich autorów, rok wydania, tytuł publikacji, nazwę czasopisma, numer tomu, w nawiasie nr zeszytu, po dwukropku strony, przy książkach podać miejsce wydania i po dwukropku wydawnictwo).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lineRule="auto"/>
        <w:ind w:left="284" w:hanging="36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Referat przygotować za pomocą edytora tekstu (zalecany Word). </w:t>
        <w:br w:type="textWrapping"/>
        <w:t xml:space="preserve">Wykresy i inne załączniki (rysunki, wykresy, schematy, zdjęcia) czarno-białe.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lineRule="auto"/>
        <w:ind w:left="284" w:right="-142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Należy wybrać standardowy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format strony A4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wszystkie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marginesy o szerokości 2,5 cm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lineRule="auto"/>
        <w:ind w:left="284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Wielkość liter w tekście –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12 pkt (Times New Roman)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odstęp międzyliniowy (interlinia) 1,5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tytuł i podtytuły czcionką 13 pkt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- bold.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lineRule="auto"/>
        <w:ind w:left="284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Tekst (treść) powinien być przygotowany jednolicie (bez wyróżnień np. bold).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0" w:lineRule="auto"/>
        <w:ind w:left="284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Tabele przygotować w Wordzie i zamieścić od razu w tekście. Odstęp międzyliniowy w tabeli pojedynczy.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0" w:lineRule="auto"/>
        <w:ind w:left="284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Tytuły tabel i innych obiektów wyśrodkowane,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czcionka 12 pkt.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a numery tabel i rysunków należy zapisać cyframi arabskimi.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lineRule="auto"/>
        <w:ind w:left="284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Jeżeli w tekście umieszcza się numer kolejnego przypisu, powinien on być przedstawiony w formie liczby bez dodatkowych znaków, np. nawiasów (przypisy nadawane wyłącznie automatycznie).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lineRule="auto"/>
        <w:ind w:left="284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Odwołania w tekście do pozycji literaturowych powinny zawierać nazwisko autora, rok wydania podany w wykazie literatury, w nawiasie kwadratowym, np. [Kowalski, 2012].</w:t>
        <w:br w:type="textWrapping"/>
        <w:t xml:space="preserve">W przypadku cytatu należy podać dodatkowo stronę, np. [Kowalski, 2012, s. 4]. Zapis w przypadku: 2 autorów [Kowalski i Nowak, 2015] oraz 3 i więcej autorów [Kowalski i in. 2015].</w:t>
      </w:r>
    </w:p>
    <w:p w:rsidR="00000000" w:rsidDel="00000000" w:rsidP="00000000" w:rsidRDefault="00000000" w:rsidRPr="00000000" w14:paraId="00000030">
      <w:pPr>
        <w:widowControl w:val="0"/>
        <w:ind w:left="284" w:firstLine="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58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58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Przykłady: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książka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Sierpińska M., Jachna T., 2000, Ocena przedsiębiorstwa według standardów światowych. Warszawa: PWN</w:t>
      </w:r>
    </w:p>
    <w:p w:rsidR="00000000" w:rsidDel="00000000" w:rsidP="00000000" w:rsidRDefault="00000000" w:rsidRPr="00000000" w14:paraId="00000035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książka napisana pod redakcją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Milewski R., Kwiatkowski E., (red.) 2016, Podstawy ekonomii. Warszawa: PWN</w:t>
      </w:r>
    </w:p>
    <w:p w:rsidR="00000000" w:rsidDel="00000000" w:rsidP="00000000" w:rsidRDefault="00000000" w:rsidRPr="00000000" w14:paraId="00000037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rozdział w pracy zbiorowej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Rosa G., 2005, Struktura i przeobrażenia współczesnego sektora usług. W: S. Flejtarski, A. Panasiuk, J. Perenc, G. Rosa (red.) Współczesna ekonomika usług (s. 59-80). Warszawa: PWN</w:t>
      </w:r>
    </w:p>
    <w:p w:rsidR="00000000" w:rsidDel="00000000" w:rsidP="00000000" w:rsidRDefault="00000000" w:rsidRPr="00000000" w14:paraId="00000039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artykuł w czasopiśmie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Kania J. 2008, Rola doradztwa w wielofunkcyjnym rozwoju rolnictwa i obszarów wiejskich. Wieś i Doradztwo nr 3-4(55-56)2008, s. 2-10.</w:t>
      </w:r>
    </w:p>
    <w:p w:rsidR="00000000" w:rsidDel="00000000" w:rsidP="00000000" w:rsidRDefault="00000000" w:rsidRPr="00000000" w14:paraId="0000003B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przypadku, gdy artykuł pochodzi ze strony internetowej należy podać jej adres.</w:t>
      </w:r>
    </w:p>
    <w:p w:rsidR="00000000" w:rsidDel="00000000" w:rsidP="00000000" w:rsidRDefault="00000000" w:rsidRPr="00000000" w14:paraId="0000003C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akty prawne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Ustawa z dnia 19 grudnia 2008 r. o partnerstwie publiczno-prywatnym (tekst jedn.: Dz. U. z 2015 r. poz. 696 z późn. zm.).</w:t>
      </w:r>
    </w:p>
    <w:p w:rsidR="00000000" w:rsidDel="00000000" w:rsidP="00000000" w:rsidRDefault="00000000" w:rsidRPr="00000000" w14:paraId="0000003E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Ustawa z dnia 27 lipca 2005 r. Prawo o szkolnictwie wyższym (test jedn.: Dz. U. z 2016 r. poz. 1842 z późn. zm.).</w:t>
      </w:r>
    </w:p>
    <w:p w:rsidR="00000000" w:rsidDel="00000000" w:rsidP="00000000" w:rsidRDefault="00000000" w:rsidRPr="00000000" w14:paraId="0000003F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Dyrektywa 2005/56/WE Parlamentu Europejskiego i Rady z dnia 26 października 2005 r. w sprawie transgranicznego łączenia się spółek kapitałowych (Dz. Urz. UE L 310 z 25.11.2005, s. 1).</w:t>
      </w:r>
    </w:p>
    <w:p w:rsidR="00000000" w:rsidDel="00000000" w:rsidP="00000000" w:rsidRDefault="00000000" w:rsidRPr="00000000" w14:paraId="00000040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orzecznictwo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Uchwała SN z dnia 13 stycznia 1995 r., III CZP 169/94, OSNC 1995, nr 4, poz. 64.</w:t>
      </w:r>
    </w:p>
    <w:p w:rsidR="00000000" w:rsidDel="00000000" w:rsidP="00000000" w:rsidRDefault="00000000" w:rsidRPr="00000000" w14:paraId="00000042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strony internetowe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www.stat.gov.pl (dostęp z dnia 18 marca 2017 r.).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summary</w:t>
      </w:r>
    </w:p>
    <w:p w:rsidR="00000000" w:rsidDel="00000000" w:rsidP="00000000" w:rsidRDefault="00000000" w:rsidRPr="00000000" w14:paraId="00000045">
      <w:pPr>
        <w:shd w:fill="ffffff" w:val="clear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(angielskie streszczenie – tłumaczenie polskiego abstraktu umieszczone po literaturze).</w:t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ind w:left="-708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2491200" cy="1188000"/>
          <wp:effectExtent b="0" l="0" r="0" t="0"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1200" cy="118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4400550</wp:posOffset>
          </wp:positionH>
          <wp:positionV relativeFrom="paragraph">
            <wp:posOffset>-76197</wp:posOffset>
          </wp:positionV>
          <wp:extent cx="1830600" cy="1220400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0600" cy="1220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B0C3E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71D9A"/>
  </w:style>
  <w:style w:type="paragraph" w:styleId="Stopka">
    <w:name w:val="footer"/>
    <w:basedOn w:val="Normalny"/>
    <w:link w:val="StopkaZnak"/>
    <w:uiPriority w:val="99"/>
    <w:unhideWhenUsed w:val="1"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71D9A"/>
  </w:style>
  <w:style w:type="character" w:styleId="Hipercze">
    <w:name w:val="Hyperlink"/>
    <w:basedOn w:val="Domylnaczcionkaakapitu"/>
    <w:uiPriority w:val="99"/>
    <w:unhideWhenUsed w:val="1"/>
    <w:rsid w:val="009D658C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13A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13AB8"/>
    <w:rPr>
      <w:rFonts w:ascii="Tahoma" w:cs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6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6B9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6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86B9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86B9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fUBOn6fC1xlLuoNSHNfp1+ycYA==">AMUW2mVEnEjqJBlua1NKkCgtAWYZjXXGC0yVdz6xfpJBJgZKR0iuJWleb3UUVgC3c/g2nis/YW3i6T9AMGuwIg4phRK78cFbJj8FVDQTGQeeLilcnaBc/Y8=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2023-01-31T10:11:00Z</dcterms:created>
  <dc:creator>Damian</dc:creator>
</cp:coreProperties>
</file>